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E0936" w:rsidR="008A70FB" w:rsidP="41BCA3BF" w:rsidRDefault="008A70FB" w14:paraId="05E25CB7" w14:textId="72298BAE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8A70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University name:</w:t>
      </w:r>
      <w:r w:rsidRPr="41BCA3BF" w:rsidR="00FB4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The University of Melbourne</w:t>
      </w:r>
    </w:p>
    <w:p w:rsidRPr="00AE0936" w:rsidR="004E67D1" w:rsidP="41BCA3BF" w:rsidRDefault="008A70FB" w14:paraId="7D9E4261" w14:textId="0D142A0C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8A70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Name of key contacts in your university in relation to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GAI</w:t>
      </w:r>
      <w:r w:rsidRPr="41BCA3BF" w:rsidR="008A70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41BCA3BF" w:rsidR="00DC463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41BCA3BF" w:rsidR="0095680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Dr. L</w:t>
      </w:r>
      <w:r w:rsidRPr="41BCA3BF" w:rsidR="006B7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eah</w:t>
      </w:r>
      <w:r w:rsidRPr="41BCA3BF" w:rsidR="0095680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Schwart</w:t>
      </w:r>
      <w:r w:rsidRPr="41BCA3BF" w:rsidR="60CE3EF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z</w:t>
      </w:r>
      <w:r w:rsidRPr="41BCA3BF" w:rsidR="001700D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</w:t>
      </w:r>
      <w:r w:rsidRPr="41BCA3BF" w:rsidR="0095680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Director Academ</w:t>
      </w:r>
      <w:r w:rsidRPr="41BCA3BF" w:rsidR="001700D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ic</w:t>
      </w:r>
      <w:r w:rsidRPr="41BCA3BF" w:rsidR="0095680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Strategy</w:t>
      </w:r>
      <w:r w:rsidRPr="41BCA3BF" w:rsidR="00250F5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</w:t>
      </w:r>
      <w:r w:rsidRPr="41BCA3BF" w:rsidR="00250F5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leah.schwartz@unimelb.edu.au</w:t>
      </w:r>
    </w:p>
    <w:p w:rsidRPr="00AE0936" w:rsidR="004E67D1" w:rsidP="41BCA3BF" w:rsidRDefault="526D9220" w14:paraId="3FCB6635" w14:textId="6AC5B4B7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95680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</w:p>
    <w:p w:rsidRPr="00AE0936" w:rsidR="4CCAC777" w:rsidP="41BCA3BF" w:rsidRDefault="4CCAC777" w14:paraId="3B86636D" w14:textId="003AAA46" w14:noSpellErr="1">
      <w:pPr>
        <w:pStyle w:val="ListParagrap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r w:rsidRPr="41BCA3BF" w:rsidR="4CCAC777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--------------------------</w:t>
      </w:r>
    </w:p>
    <w:p w:rsidRPr="00AE0936" w:rsidR="00A818EB" w:rsidP="41BCA3BF" w:rsidRDefault="54F1BF2E" w14:paraId="5F536FC3" w14:textId="6F23ED80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1BCA3BF" w:rsidR="54F1BF2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University Policies and Guidelines</w:t>
      </w:r>
    </w:p>
    <w:p w:rsidRPr="00AE0936" w:rsidR="00D41B39" w:rsidP="41BCA3BF" w:rsidRDefault="00A818EB" w14:paraId="4FC366DD" w14:textId="0D7CD04E" w14:noSpellErr="1">
      <w:pPr>
        <w:pStyle w:val="ds-markdown-paragraph"/>
        <w:shd w:val="clear" w:color="auto" w:fill="FFFFFF" w:themeFill="background1"/>
        <w:spacing w:before="0" w:beforeAutospacing="off" w:after="206" w:after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University of Melbourne has developed a comprehensive governance framework for generative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41BCA3BF" w:rsidR="006B7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AI (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GAI</w:t>
      </w:r>
      <w:r w:rsidRPr="41BCA3BF" w:rsidR="006B7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)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</w:t>
      </w:r>
      <w:r w:rsidRPr="41BCA3BF" w:rsidR="00E76D9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making 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its </w:t>
      </w:r>
      <w:r w:rsidRPr="41BCA3BF" w:rsidR="00A818EB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Spark</w:t>
      </w:r>
      <w:r w:rsidRPr="41BCA3BF" w:rsidR="6A4485FE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AI</w:t>
      </w:r>
      <w:r w:rsidRPr="41BCA3BF" w:rsidR="00A818EB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tool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 </w:t>
      </w:r>
      <w:r w:rsidRPr="41BCA3BF" w:rsidR="00E76D9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available 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alongside other resources to support policy implementation. This approach includes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 set of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University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principles for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use across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all aspects of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University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activity. For students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guidelines cover assessment integrity through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use and 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disclosure protocols,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-assisted marking standards, and </w:t>
      </w:r>
      <w:r w:rsidRPr="41BCA3BF" w:rsidR="006B7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guidelines on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editing and 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translation tool usage. The </w:t>
      </w:r>
      <w:r w:rsidRPr="41BCA3BF" w:rsidR="00D223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U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niversity provides tailored academic integrity modules for undergraduate and graduate students, a</w:t>
      </w:r>
      <w:r w:rsidRPr="41BCA3BF" w:rsidR="00D41B39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s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w</w:t>
      </w:r>
      <w:r w:rsidRPr="41BCA3BF" w:rsidR="00D41B3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ell as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professional development programs to </w:t>
      </w:r>
      <w:r w:rsidRPr="41BCA3BF" w:rsidR="00D41B3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enhance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staff capabilities in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41BCA3BF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integration.</w:t>
      </w:r>
    </w:p>
    <w:p w:rsidRPr="00AE0936" w:rsidR="00D07A89" w:rsidP="41BCA3BF" w:rsidRDefault="00D07A89" w14:paraId="6BB0C3C5" w14:textId="6C65852B">
      <w:pPr>
        <w:pStyle w:val="ds-markdown-paragraph"/>
        <w:shd w:val="clear" w:color="auto" w:fill="FFFFFF" w:themeFill="background1"/>
        <w:spacing w:before="0" w:beforeAutospacing="off" w:after="206" w:after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 Generative</w:t>
      </w:r>
      <w:r w:rsidRPr="6ACF39BB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AI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Task Force, chaired by the Deputy Vice-Chancellor</w:t>
      </w:r>
      <w:r w:rsidRPr="6ACF39BB" w:rsidR="006B7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Academic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 meets quarterly to coordinate</w:t>
      </w:r>
      <w:r w:rsidRPr="6ACF39BB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implementation across </w:t>
      </w:r>
      <w:r w:rsidRPr="6ACF39BB" w:rsidR="006B714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education, 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research, workforce development, and administrative operations. </w:t>
      </w:r>
      <w:r w:rsidRPr="6ACF39BB" w:rsidR="005A38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6ACF39BB" w:rsidR="005A38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key 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initiative </w:t>
      </w:r>
      <w:r w:rsidRPr="6ACF39BB" w:rsidR="00E300E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of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the Advancing Students </w:t>
      </w:r>
      <w:r w:rsidRPr="6ACF39BB" w:rsidR="00E300E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and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Education </w:t>
      </w:r>
      <w:r w:rsidRPr="6ACF39BB" w:rsidR="00E300E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strategy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6ACF39BB" w:rsidR="005A38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is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focused on assessment transformation, </w:t>
      </w:r>
      <w:r w:rsidRPr="6ACF39BB" w:rsidR="00743A1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underpinned by 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an audit of assessment types to evaluate</w:t>
      </w:r>
      <w:r w:rsidRPr="6ACF39BB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impacts, and </w:t>
      </w:r>
      <w:r w:rsidRPr="6ACF39BB" w:rsidR="00743A1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new principles for secure </w:t>
      </w:r>
      <w:r w:rsidRPr="6ACF39BB" w:rsidR="007B643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assessment, as well as 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updated marking guidelines clarifying staff responsibilities 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regarding</w:t>
      </w:r>
      <w:r w:rsidRPr="6ACF39BB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6ACF39BB" w:rsidR="00A818E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use.</w:t>
      </w:r>
    </w:p>
    <w:p w:rsidR="6ACF39BB" w:rsidP="6ACF39BB" w:rsidRDefault="6ACF39BB" w14:paraId="1B9B38F5" w14:textId="5920189C">
      <w:pPr>
        <w:pStyle w:val="ds-markdown-paragraph"/>
        <w:shd w:val="clear" w:color="auto" w:fill="FFFFFF" w:themeFill="background1"/>
        <w:spacing w:before="0" w:beforeAutospacing="off" w:after="206" w:after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AE0936" w:rsidR="18DA4240" w:rsidP="41BCA3BF" w:rsidRDefault="18DA4240" w14:paraId="553F6A18" w14:textId="19D54806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1BCA3BF" w:rsidR="18DA424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Current Practices and Priorities for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GAI</w:t>
      </w:r>
      <w:r w:rsidRPr="41BCA3BF" w:rsidR="18DA424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in Education</w:t>
      </w:r>
    </w:p>
    <w:p w:rsidRPr="00AE0936" w:rsidR="0095680A" w:rsidP="6ACF39BB" w:rsidRDefault="00D706FF" w14:textId="0C8441D5" w14:paraId="7EF1C4FC">
      <w:pPr>
        <w:pStyle w:val="ListParagraph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The University of Melbourne has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established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clear priorities for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integration in education, with assessment transformation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remaining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 central focus as the institution develops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new approaches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to ensure learning assurance in the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era. Current initiatives have expanded beyond assessment to include innovative teaching applications, notably through the implementation of a Socratic tutor bot </w:t>
      </w:r>
      <w:r w:rsidRPr="41BCA3BF" w:rsidR="005A161B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that can be deployed by teachers in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</w:t>
      </w:r>
      <w:r w:rsidRPr="41BCA3BF" w:rsidR="005A161B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subject sites within the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learning management system</w:t>
      </w:r>
      <w:r w:rsidRPr="41BCA3BF" w:rsidR="005A161B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.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Professional development forms another key pillar of the strategy, building on last year's success in </w:t>
      </w:r>
      <w:r w:rsidRPr="41BCA3BF" w:rsidR="00912CC6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reach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ing over 1,000 staff members, while parallel efforts focus on student education regarding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appropriate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use in academic work. This comprehensive approach reflects an evolution from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initial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assessment-focused concerns to broader pedagogical integration, encompassing teaching innovation, community education, and ethical implementation challenges as the institution navigates the opportunities and complexities presented by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in higher education.</w:t>
      </w:r>
    </w:p>
    <w:p w:rsidR="6ACF39BB" w:rsidP="6ACF39BB" w:rsidRDefault="6ACF39BB" w14:paraId="075C78E0" w14:textId="7665A761">
      <w:pPr>
        <w:pStyle w:val="ListParagraph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AE0936" w:rsidR="0095680A" w:rsidP="41BCA3BF" w:rsidRDefault="0FB92389" w14:paraId="72E329F9" w14:textId="4895276F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1BCA3BF" w:rsidR="0FB923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Challenges, Learning and Successes until now in relation to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GAI</w:t>
      </w:r>
    </w:p>
    <w:p w:rsidRPr="00AE0936" w:rsidR="00D706FF" w:rsidP="41BCA3BF" w:rsidRDefault="00D706FF" w14:paraId="48E8774D" w14:textId="48DE36E9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Over the past two years, the University of Melbourne's key learnings about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in education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center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on balancing risk management with opportunity exploration, recogni</w:t>
      </w:r>
      <w:r w:rsidRPr="41BCA3BF" w:rsidR="7BC6D26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s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ing both the disruptive potential and the need to preserve core educational principles. The institution's greatest successes include implementing a whole-of-university approach through Spark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,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lastRenderedPageBreak/>
        <w:t>rapidly upskilling over 1,000 staff via professional development programs, and fostering robust cross-disciplinary conversations about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's educational implications. However, significant challenges persist, particularly the sheer scale of implementation across 7,500 subjects and 18,000 assessments, coupled with the difficulty of transforming long-established academic practices resistant to change. The </w:t>
      </w:r>
      <w:r w:rsidRPr="41BCA3BF" w:rsidR="00AD6BB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U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niversity has learned that while disciplinary differences exist, common ground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emerges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when addressing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's impact on fundamental assessment approaches across fields as diverse as fine arts, design, and health sciences. This experience has highlighted both the promise and complexity of integrating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while 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maintaining</w:t>
      </w:r>
      <w:r w:rsidRPr="41BCA3BF" w:rsidR="00D706F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educational quality at a large research-intensive institution. </w:t>
      </w:r>
    </w:p>
    <w:p w:rsidRPr="00AE0936" w:rsidR="0095680A" w:rsidP="41BCA3BF" w:rsidRDefault="0095680A" w14:paraId="3D58C507" w14:textId="77777777" w14:noSpellErr="1">
      <w:p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</w:p>
    <w:p w:rsidRPr="00AE0936" w:rsidR="00262709" w:rsidP="41BCA3BF" w:rsidRDefault="77D11111" w14:paraId="54EC4B47" w14:textId="78E9F210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1BCA3BF" w:rsidR="77D1111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Staff Development and Engagement</w:t>
      </w:r>
    </w:p>
    <w:p w:rsidRPr="00FF191A" w:rsidR="00A828FE" w:rsidP="41BCA3BF" w:rsidRDefault="00A828FE" w14:paraId="667114F0" w14:textId="4052DFC7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Over the past 18 months, the University of Melbourne has transformed its staff development approach for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through comprehensive new initiatives, such as offering a practical online resources toolkit and highly popular technical drop-in sessions (both online and offline) that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provide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hands-on guidance. These capacity-building efforts are designed to be flexible, allowing faculties to adapt materials to their specific disciplinary needs. Looking ahead, the </w:t>
      </w:r>
      <w:r w:rsidRPr="41BCA3BF" w:rsidR="00180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U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niversity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anticipates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three key challenges: overcoming engagement barriers with late-career </w:t>
      </w:r>
      <w:r w:rsidRPr="41BCA3BF" w:rsidR="00180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and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reluctant staff, ensuring consistent competency development across all academic areas, and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maintaining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program relevance amid rapid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advancements. While individual researchers are exploring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's educational impacts, institutional evaluation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remains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limited to participation in a 2023 national survey on staff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perceptions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, with no current plans for broader impact studies despite active grassroots scholarship among teaching innovators. </w:t>
      </w:r>
    </w:p>
    <w:p w:rsidRPr="00AE0936" w:rsidR="00A828FE" w:rsidP="41BCA3BF" w:rsidRDefault="00A828FE" w14:paraId="733AF01A" w14:textId="77777777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AE0936" w:rsidR="009654F3" w:rsidP="41BCA3BF" w:rsidRDefault="22E14104" w14:paraId="5FF71479" w14:textId="6B9471E6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lang w:val="en-US" w:eastAsia="zh-CN"/>
        </w:rPr>
      </w:pPr>
      <w:r w:rsidRPr="41BCA3BF" w:rsidR="22E141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Research and Evaluation</w:t>
      </w:r>
    </w:p>
    <w:p w:rsidRPr="00AE0936" w:rsidR="00A828FE" w:rsidP="41BCA3BF" w:rsidRDefault="00A828FE" w14:paraId="0B00DB23" w14:textId="320DE1F7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The University of Melbourne currently has no centrali</w:t>
      </w:r>
      <w:r w:rsidRPr="41BCA3BF" w:rsidR="7BC6D26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ed, institution-led research program on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in education. While individual academics and teaching innovators conduct their own studies through scholarship of teaching and learning projects, the only coordinated research effort to date has been participation in a 2023 consortium survey examining staff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perceptions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and usage of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GAI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. There are no current plans for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additional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institutional evaluations or impact studies beyond these decentrali</w:t>
      </w:r>
      <w:r w:rsidRPr="41BCA3BF" w:rsidR="7BC6D26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ed research activities. The university's approach 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remains</w:t>
      </w:r>
      <w:r w:rsidRPr="41BCA3BF" w:rsidR="00A828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primarily focused on supporting grassroots investigations by individual practitioners rather than implementing a unified research strategy.</w:t>
      </w:r>
    </w:p>
    <w:p w:rsidRPr="00AE0936" w:rsidR="00A828FE" w:rsidP="41BCA3BF" w:rsidRDefault="00A828FE" w14:paraId="42E61D3C" w14:textId="77777777" w14:noSpellErr="1">
      <w:p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</w:p>
    <w:p w:rsidRPr="00AE0936" w:rsidR="006E3241" w:rsidP="41BCA3BF" w:rsidRDefault="039847D9" w14:paraId="5FDCB6C7" w14:textId="1C0900D1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1BCA3BF" w:rsidR="039847D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Summary</w:t>
      </w:r>
    </w:p>
    <w:p w:rsidRPr="00AE0936" w:rsidR="006E3241" w:rsidP="41BCA3BF" w:rsidRDefault="2B586527" w14:paraId="12A20506" w14:textId="3CB5719D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2B586527">
        <w:rPr>
          <w:rFonts w:ascii="Aptos" w:hAnsi="Aptos" w:eastAsia="Aptos" w:cs="Aptos" w:asciiTheme="minorAscii" w:hAnsiTheme="minorAscii" w:eastAsiaTheme="minorAscii" w:cstheme="minorAscii"/>
          <w:color w:val="auto"/>
          <w:sz w:val="22"/>
          <w:szCs w:val="22"/>
          <w:lang w:val="en-US"/>
        </w:rPr>
        <w:t xml:space="preserve">On a scale of 1 –10 where 1 is fledgling and 10 is mature how would you assess the AI maturity or your </w:t>
      </w:r>
      <w:r w:rsidRPr="41BCA3BF" w:rsidR="2B586527">
        <w:rPr>
          <w:rFonts w:ascii="Aptos" w:hAnsi="Aptos" w:eastAsia="Aptos" w:cs="Aptos" w:asciiTheme="minorAscii" w:hAnsiTheme="minorAscii" w:eastAsiaTheme="minorAscii" w:cstheme="minorAscii"/>
          <w:color w:val="auto"/>
          <w:sz w:val="22"/>
          <w:szCs w:val="22"/>
          <w:lang w:val="en-US"/>
        </w:rPr>
        <w:t>institution?</w:t>
      </w:r>
      <w:r w:rsidRPr="41BCA3BF" w:rsidR="0057521C">
        <w:rPr>
          <w:rFonts w:ascii="Aptos" w:hAnsi="Aptos" w:eastAsia="Aptos" w:cs="Aptos" w:asciiTheme="minorAscii" w:hAnsiTheme="minorAscii" w:eastAsiaTheme="minorAscii" w:cstheme="minorAscii"/>
          <w:color w:val="auto"/>
          <w:sz w:val="22"/>
          <w:szCs w:val="22"/>
        </w:rPr>
        <w:t>:</w:t>
      </w:r>
      <w:r w:rsidRPr="41BCA3BF" w:rsidR="0057521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</w:p>
    <w:p w:rsidRPr="00AE0936" w:rsidR="006E3241" w:rsidP="41BCA3BF" w:rsidRDefault="2B586527" w14:paraId="5D44E957" w14:textId="60A44A2A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1BCA3BF" w:rsidR="009654F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6</w:t>
      </w:r>
    </w:p>
    <w:p w:rsidRPr="00AE0936" w:rsidR="371AF1E4" w:rsidP="41BCA3BF" w:rsidRDefault="0057521C" w14:paraId="4C1A6AAA" w14:textId="465FA551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</w:pPr>
      <w:r w:rsidRPr="41BCA3BF" w:rsidR="0057521C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The University of Melbourne acknowledges its solid progress with initiatives like Spark</w:t>
      </w:r>
      <w:r w:rsidRPr="41BCA3BF" w:rsidR="6A4485FE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AI</w:t>
      </w:r>
      <w:r w:rsidRPr="41BCA3BF" w:rsidR="0057521C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and staff training, but recogni</w:t>
      </w:r>
      <w:r w:rsidRPr="41BCA3BF" w:rsidR="7BC6D26F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>s</w:t>
      </w:r>
      <w:r w:rsidRPr="41BCA3BF" w:rsidR="0057521C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es significant work </w:t>
      </w:r>
      <w:r w:rsidRPr="41BCA3BF" w:rsidR="0057521C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remains</w:t>
      </w:r>
      <w:r w:rsidRPr="41BCA3BF" w:rsidR="0057521C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shd w:val="clear" w:color="auto" w:fill="FFFFFF"/>
        </w:rPr>
        <w:t xml:space="preserve"> for full-scale integration. While assessing itself as slightly ahead of its peers, the score reflects conscious limitations in the current depth of implementation across all academic areas. </w:t>
      </w:r>
    </w:p>
    <w:p w:rsidRPr="00AE0936" w:rsidR="0057521C" w:rsidP="41BCA3BF" w:rsidRDefault="0057521C" w14:paraId="3C1F402A" w14:textId="77777777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33CD8EE0" w:rsidP="502B390E" w:rsidRDefault="33CD8EE0" w14:paraId="46CEB9F5" w14:textId="73B2BAB9">
      <w:p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502B390E" w:rsidR="33CD8E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Resources, </w:t>
      </w:r>
      <w:r w:rsidRPr="502B390E" w:rsidR="33CD8E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articles</w:t>
      </w:r>
      <w:r w:rsidRPr="502B390E" w:rsidR="33CD8E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initiatives in relation to AI to share:</w:t>
      </w:r>
    </w:p>
    <w:p w:rsidRPr="00AE0936" w:rsidR="00AE0936" w:rsidP="41BCA3BF" w:rsidRDefault="00AE0936" w14:paraId="7FE259EE" w14:noSpellErr="1" w14:textId="3BA466D2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hyperlink r:id="Rebd4cf273fb24e98">
        <w:r w:rsidRPr="41BCA3BF" w:rsidR="001B501E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https://www.unimelb.edu.au/ai</w:t>
        </w:r>
      </w:hyperlink>
    </w:p>
    <w:sectPr w:rsidRPr="00AE0936" w:rsidR="00AE09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6136"/>
    <w:multiLevelType w:val="hybridMultilevel"/>
    <w:tmpl w:val="5D528658"/>
    <w:lvl w:ilvl="0" w:tplc="6AC6CC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CA6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D27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408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EC9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426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189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C64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704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EDA3B2"/>
    <w:multiLevelType w:val="hybridMultilevel"/>
    <w:tmpl w:val="80582064"/>
    <w:lvl w:ilvl="0" w:tplc="EC62F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AD1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C842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BE9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0A2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326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7AA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EE0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5CF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856735"/>
    <w:multiLevelType w:val="hybridMultilevel"/>
    <w:tmpl w:val="16FADCF0"/>
    <w:lvl w:ilvl="0" w:tplc="7A801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6EE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ACE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B4C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4847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848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208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A47A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8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C7BC3C"/>
    <w:multiLevelType w:val="hybridMultilevel"/>
    <w:tmpl w:val="B42C729C"/>
    <w:lvl w:ilvl="0" w:tplc="348E7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78C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D29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C68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74C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2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26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F8E5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98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4EC2EE"/>
    <w:multiLevelType w:val="hybridMultilevel"/>
    <w:tmpl w:val="20581B40"/>
    <w:lvl w:ilvl="0" w:tplc="A496A4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BCE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A7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906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86F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8F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DED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688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5E1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807F97"/>
    <w:multiLevelType w:val="hybridMultilevel"/>
    <w:tmpl w:val="74D81DDA"/>
    <w:lvl w:ilvl="0" w:tplc="90DEF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AE770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17AEE7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24E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8E83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CB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EEC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FA4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4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2A1E6A"/>
    <w:multiLevelType w:val="hybridMultilevel"/>
    <w:tmpl w:val="2B7E07A0"/>
    <w:lvl w:ilvl="0" w:tplc="D3C6E3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B83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2ED8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DE3B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2E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7ED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2AB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AE6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A1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4B259E"/>
    <w:multiLevelType w:val="multilevel"/>
    <w:tmpl w:val="D14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0683D3C"/>
    <w:multiLevelType w:val="multilevel"/>
    <w:tmpl w:val="E24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5594F"/>
    <w:multiLevelType w:val="hybridMultilevel"/>
    <w:tmpl w:val="D3CA71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5965CFF"/>
    <w:multiLevelType w:val="hybridMultilevel"/>
    <w:tmpl w:val="E1564E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B9FBF00"/>
    <w:multiLevelType w:val="hybridMultilevel"/>
    <w:tmpl w:val="B9D8447E"/>
    <w:lvl w:ilvl="0" w:tplc="25848E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5622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9AC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60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626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62F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783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EE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123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61F2B0"/>
    <w:multiLevelType w:val="hybridMultilevel"/>
    <w:tmpl w:val="3760E196"/>
    <w:lvl w:ilvl="0" w:tplc="FC5621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7B88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D2D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D68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043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DA0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8E8A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C6E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C0D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D51193"/>
    <w:multiLevelType w:val="multilevel"/>
    <w:tmpl w:val="DF0E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3834179">
    <w:abstractNumId w:val="0"/>
  </w:num>
  <w:num w:numId="2" w16cid:durableId="2130657959">
    <w:abstractNumId w:val="1"/>
  </w:num>
  <w:num w:numId="3" w16cid:durableId="568229252">
    <w:abstractNumId w:val="2"/>
  </w:num>
  <w:num w:numId="4" w16cid:durableId="1023363017">
    <w:abstractNumId w:val="11"/>
  </w:num>
  <w:num w:numId="5" w16cid:durableId="118843125">
    <w:abstractNumId w:val="3"/>
  </w:num>
  <w:num w:numId="6" w16cid:durableId="797064769">
    <w:abstractNumId w:val="6"/>
  </w:num>
  <w:num w:numId="7" w16cid:durableId="390159176">
    <w:abstractNumId w:val="4"/>
  </w:num>
  <w:num w:numId="8" w16cid:durableId="1116438344">
    <w:abstractNumId w:val="12"/>
  </w:num>
  <w:num w:numId="9" w16cid:durableId="1925453490">
    <w:abstractNumId w:val="5"/>
  </w:num>
  <w:num w:numId="10" w16cid:durableId="1074864027">
    <w:abstractNumId w:val="7"/>
  </w:num>
  <w:num w:numId="11" w16cid:durableId="1853450559">
    <w:abstractNumId w:val="8"/>
  </w:num>
  <w:num w:numId="12" w16cid:durableId="1573348808">
    <w:abstractNumId w:val="13"/>
  </w:num>
  <w:num w:numId="13" w16cid:durableId="864096221">
    <w:abstractNumId w:val="10"/>
  </w:num>
  <w:num w:numId="14" w16cid:durableId="1113281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A"/>
    <w:rsid w:val="00006F79"/>
    <w:rsid w:val="00017BC3"/>
    <w:rsid w:val="00022EB8"/>
    <w:rsid w:val="00043E07"/>
    <w:rsid w:val="000C7C52"/>
    <w:rsid w:val="0010593B"/>
    <w:rsid w:val="0012273C"/>
    <w:rsid w:val="00122F37"/>
    <w:rsid w:val="001700D8"/>
    <w:rsid w:val="00180698"/>
    <w:rsid w:val="001B501E"/>
    <w:rsid w:val="0020455E"/>
    <w:rsid w:val="00224116"/>
    <w:rsid w:val="00226300"/>
    <w:rsid w:val="00232156"/>
    <w:rsid w:val="00250F58"/>
    <w:rsid w:val="00262073"/>
    <w:rsid w:val="00262709"/>
    <w:rsid w:val="00362B41"/>
    <w:rsid w:val="003D11B1"/>
    <w:rsid w:val="004074C9"/>
    <w:rsid w:val="00472A39"/>
    <w:rsid w:val="004E25E9"/>
    <w:rsid w:val="004E67D1"/>
    <w:rsid w:val="005062F3"/>
    <w:rsid w:val="0057521C"/>
    <w:rsid w:val="005A161B"/>
    <w:rsid w:val="005A38F2"/>
    <w:rsid w:val="005B0303"/>
    <w:rsid w:val="005B6289"/>
    <w:rsid w:val="0063516C"/>
    <w:rsid w:val="00637B49"/>
    <w:rsid w:val="006B232B"/>
    <w:rsid w:val="006B7144"/>
    <w:rsid w:val="006E3241"/>
    <w:rsid w:val="00743A1B"/>
    <w:rsid w:val="00746BC3"/>
    <w:rsid w:val="007B6433"/>
    <w:rsid w:val="007D0D63"/>
    <w:rsid w:val="008A3A75"/>
    <w:rsid w:val="008A70FB"/>
    <w:rsid w:val="008B3DE6"/>
    <w:rsid w:val="00901359"/>
    <w:rsid w:val="00912A32"/>
    <w:rsid w:val="00912CC6"/>
    <w:rsid w:val="0095680A"/>
    <w:rsid w:val="009654F3"/>
    <w:rsid w:val="00973FB1"/>
    <w:rsid w:val="009F6AE7"/>
    <w:rsid w:val="00A062B2"/>
    <w:rsid w:val="00A543B1"/>
    <w:rsid w:val="00A818EB"/>
    <w:rsid w:val="00A828FE"/>
    <w:rsid w:val="00A84486"/>
    <w:rsid w:val="00AD6BB8"/>
    <w:rsid w:val="00AE0936"/>
    <w:rsid w:val="00B13139"/>
    <w:rsid w:val="00B23FCD"/>
    <w:rsid w:val="00B52AAB"/>
    <w:rsid w:val="00BC2BB2"/>
    <w:rsid w:val="00C40AAE"/>
    <w:rsid w:val="00C500AD"/>
    <w:rsid w:val="00CF61E1"/>
    <w:rsid w:val="00D02471"/>
    <w:rsid w:val="00D0344D"/>
    <w:rsid w:val="00D07A89"/>
    <w:rsid w:val="00D10508"/>
    <w:rsid w:val="00D22302"/>
    <w:rsid w:val="00D41B39"/>
    <w:rsid w:val="00D706FF"/>
    <w:rsid w:val="00DC463A"/>
    <w:rsid w:val="00E00F53"/>
    <w:rsid w:val="00E300EA"/>
    <w:rsid w:val="00E76D9F"/>
    <w:rsid w:val="00EB5F8E"/>
    <w:rsid w:val="00EB728E"/>
    <w:rsid w:val="00EE0245"/>
    <w:rsid w:val="00FB4144"/>
    <w:rsid w:val="00FE11B4"/>
    <w:rsid w:val="00FE1622"/>
    <w:rsid w:val="00FE5CF6"/>
    <w:rsid w:val="00FF191A"/>
    <w:rsid w:val="0110FAA2"/>
    <w:rsid w:val="0192E0EE"/>
    <w:rsid w:val="01C4E8D5"/>
    <w:rsid w:val="02A44C30"/>
    <w:rsid w:val="0352F62D"/>
    <w:rsid w:val="039847D9"/>
    <w:rsid w:val="04B3D19A"/>
    <w:rsid w:val="04E94C2D"/>
    <w:rsid w:val="04F422AE"/>
    <w:rsid w:val="0600B0D4"/>
    <w:rsid w:val="06F3BDA2"/>
    <w:rsid w:val="07349FD3"/>
    <w:rsid w:val="081A13ED"/>
    <w:rsid w:val="0844032B"/>
    <w:rsid w:val="08F5132A"/>
    <w:rsid w:val="0B6A5253"/>
    <w:rsid w:val="0C58BE73"/>
    <w:rsid w:val="0C8B57A5"/>
    <w:rsid w:val="0CC3522A"/>
    <w:rsid w:val="0CEFD07B"/>
    <w:rsid w:val="0CFACC8D"/>
    <w:rsid w:val="0DAD6762"/>
    <w:rsid w:val="0DB58036"/>
    <w:rsid w:val="0E46997D"/>
    <w:rsid w:val="0FB2B455"/>
    <w:rsid w:val="0FB92389"/>
    <w:rsid w:val="102A9F5B"/>
    <w:rsid w:val="12819B11"/>
    <w:rsid w:val="131D1F00"/>
    <w:rsid w:val="131EC5C3"/>
    <w:rsid w:val="14A14E99"/>
    <w:rsid w:val="15EEED44"/>
    <w:rsid w:val="1770F874"/>
    <w:rsid w:val="17EBE6D2"/>
    <w:rsid w:val="18420214"/>
    <w:rsid w:val="18DA4240"/>
    <w:rsid w:val="1A1D2DC2"/>
    <w:rsid w:val="1AE20D5D"/>
    <w:rsid w:val="1C414F32"/>
    <w:rsid w:val="1D2765D6"/>
    <w:rsid w:val="1E013322"/>
    <w:rsid w:val="1E2D7E41"/>
    <w:rsid w:val="1EDFB46F"/>
    <w:rsid w:val="1F0FFEF1"/>
    <w:rsid w:val="1F81E917"/>
    <w:rsid w:val="1FFD20A7"/>
    <w:rsid w:val="205490EB"/>
    <w:rsid w:val="206E8583"/>
    <w:rsid w:val="221E2FA8"/>
    <w:rsid w:val="22E14104"/>
    <w:rsid w:val="23582C9C"/>
    <w:rsid w:val="25824FAB"/>
    <w:rsid w:val="2678855C"/>
    <w:rsid w:val="270B4A8E"/>
    <w:rsid w:val="277445AC"/>
    <w:rsid w:val="2776BF11"/>
    <w:rsid w:val="27EDAA93"/>
    <w:rsid w:val="283DF782"/>
    <w:rsid w:val="28830B72"/>
    <w:rsid w:val="290F5776"/>
    <w:rsid w:val="2ABEDA7B"/>
    <w:rsid w:val="2B586527"/>
    <w:rsid w:val="2B7FD75D"/>
    <w:rsid w:val="2D1C2B66"/>
    <w:rsid w:val="2D2ACDB8"/>
    <w:rsid w:val="2DC9B538"/>
    <w:rsid w:val="30F2B018"/>
    <w:rsid w:val="30FAB8DA"/>
    <w:rsid w:val="3128DD93"/>
    <w:rsid w:val="31D173C6"/>
    <w:rsid w:val="31F1038A"/>
    <w:rsid w:val="3262D97D"/>
    <w:rsid w:val="32AD2D5D"/>
    <w:rsid w:val="33986948"/>
    <w:rsid w:val="33CD8EE0"/>
    <w:rsid w:val="3479FB84"/>
    <w:rsid w:val="35A69DA3"/>
    <w:rsid w:val="35DE984E"/>
    <w:rsid w:val="371AF1E4"/>
    <w:rsid w:val="372382EB"/>
    <w:rsid w:val="37995304"/>
    <w:rsid w:val="37B1F328"/>
    <w:rsid w:val="381270FB"/>
    <w:rsid w:val="38F289CC"/>
    <w:rsid w:val="39158035"/>
    <w:rsid w:val="3ABF4363"/>
    <w:rsid w:val="3B0A5B61"/>
    <w:rsid w:val="3B32C083"/>
    <w:rsid w:val="3B71C118"/>
    <w:rsid w:val="3CA58FA1"/>
    <w:rsid w:val="3D486890"/>
    <w:rsid w:val="3DDE5D1C"/>
    <w:rsid w:val="3DEA5981"/>
    <w:rsid w:val="4040FA74"/>
    <w:rsid w:val="41BCA3BF"/>
    <w:rsid w:val="426BFA73"/>
    <w:rsid w:val="426F4162"/>
    <w:rsid w:val="42708CF0"/>
    <w:rsid w:val="42A1DAFC"/>
    <w:rsid w:val="42C8B870"/>
    <w:rsid w:val="42FF2B5C"/>
    <w:rsid w:val="441670C3"/>
    <w:rsid w:val="4534764E"/>
    <w:rsid w:val="45C5D6DA"/>
    <w:rsid w:val="480D4683"/>
    <w:rsid w:val="4841B140"/>
    <w:rsid w:val="4885DEC4"/>
    <w:rsid w:val="490602F9"/>
    <w:rsid w:val="49A108FC"/>
    <w:rsid w:val="4A0526C5"/>
    <w:rsid w:val="4C3605FB"/>
    <w:rsid w:val="4C9865B8"/>
    <w:rsid w:val="4CC289A2"/>
    <w:rsid w:val="4CCAC777"/>
    <w:rsid w:val="4D853B15"/>
    <w:rsid w:val="4EA2D52A"/>
    <w:rsid w:val="4F2F88F1"/>
    <w:rsid w:val="502B390E"/>
    <w:rsid w:val="502D2F7F"/>
    <w:rsid w:val="526D9220"/>
    <w:rsid w:val="53D128FD"/>
    <w:rsid w:val="53FBB27B"/>
    <w:rsid w:val="54BAEC4A"/>
    <w:rsid w:val="54F1BF2E"/>
    <w:rsid w:val="57824269"/>
    <w:rsid w:val="5861128A"/>
    <w:rsid w:val="5899995A"/>
    <w:rsid w:val="58C3C327"/>
    <w:rsid w:val="58F8C7E6"/>
    <w:rsid w:val="5E0E0DC7"/>
    <w:rsid w:val="5E2998B4"/>
    <w:rsid w:val="5EE7FD2A"/>
    <w:rsid w:val="5F9ED3F1"/>
    <w:rsid w:val="60CE3EF0"/>
    <w:rsid w:val="612949AF"/>
    <w:rsid w:val="619EE9DA"/>
    <w:rsid w:val="627F78FC"/>
    <w:rsid w:val="6699F6C7"/>
    <w:rsid w:val="671B7474"/>
    <w:rsid w:val="68B3D527"/>
    <w:rsid w:val="6A4485FE"/>
    <w:rsid w:val="6ACF39BB"/>
    <w:rsid w:val="6B3D73BA"/>
    <w:rsid w:val="6CE82031"/>
    <w:rsid w:val="6D8CA444"/>
    <w:rsid w:val="6E49730C"/>
    <w:rsid w:val="6E4A70FE"/>
    <w:rsid w:val="6ECD6C7D"/>
    <w:rsid w:val="6F614852"/>
    <w:rsid w:val="722EBDA3"/>
    <w:rsid w:val="72EE1E38"/>
    <w:rsid w:val="74700F7A"/>
    <w:rsid w:val="74C03E89"/>
    <w:rsid w:val="74CFF0BE"/>
    <w:rsid w:val="74F06613"/>
    <w:rsid w:val="75A8610B"/>
    <w:rsid w:val="7617B45B"/>
    <w:rsid w:val="77CFE063"/>
    <w:rsid w:val="77D11111"/>
    <w:rsid w:val="7909CF57"/>
    <w:rsid w:val="795E1D65"/>
    <w:rsid w:val="7A1A55FD"/>
    <w:rsid w:val="7BC6D26F"/>
    <w:rsid w:val="7BCC1D05"/>
    <w:rsid w:val="7CE1F082"/>
    <w:rsid w:val="7D4AA90B"/>
    <w:rsid w:val="7DC328BC"/>
    <w:rsid w:val="7DDAEF17"/>
    <w:rsid w:val="7EDAE094"/>
    <w:rsid w:val="7F60A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288E"/>
  <w15:chartTrackingRefBased/>
  <w15:docId w15:val="{249B7A75-DCAA-4C44-8589-2FB50DC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6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C46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C46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C46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C46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C46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C46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C46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C46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C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46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C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C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C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ds-markdown-paragraph" w:customStyle="1">
    <w:name w:val="ds-markdown-paragraph"/>
    <w:basedOn w:val="Normal"/>
    <w:rsid w:val="00A818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A818EB"/>
    <w:rPr>
      <w:b/>
      <w:bCs/>
    </w:rPr>
  </w:style>
  <w:style w:type="character" w:styleId="Emphasis">
    <w:name w:val="Emphasis"/>
    <w:basedOn w:val="DefaultParagraphFont"/>
    <w:uiPriority w:val="20"/>
    <w:qFormat/>
    <w:rsid w:val="00A818E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B50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F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3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FB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3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FB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3F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unimelb.edu.au/ai" TargetMode="External" Id="Rebd4cf273fb24e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5AFA382F0A4A814BD75C5E7948E7" ma:contentTypeVersion="13" ma:contentTypeDescription="Create a new document." ma:contentTypeScope="" ma:versionID="080e2e0ff2e24732c6ccb1a5992cb08b">
  <xsd:schema xmlns:xsd="http://www.w3.org/2001/XMLSchema" xmlns:xs="http://www.w3.org/2001/XMLSchema" xmlns:p="http://schemas.microsoft.com/office/2006/metadata/properties" xmlns:ns2="c90dafd8-c757-44e1-b0c1-126e3d3b3ad6" xmlns:ns3="809db94f-0e5d-4e66-8e7c-2cbb9cf5e00b" targetNamespace="http://schemas.microsoft.com/office/2006/metadata/properties" ma:root="true" ma:fieldsID="d6c5d1e09f19225c82b72334a4f9d6e4" ns2:_="" ns3:_="">
    <xsd:import namespace="c90dafd8-c757-44e1-b0c1-126e3d3b3ad6"/>
    <xsd:import namespace="809db94f-0e5d-4e66-8e7c-2cbb9cf5e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afd8-c757-44e1-b0c1-126e3d3b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b94f-0e5d-4e66-8e7c-2cbb9cf5e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992C7-3782-430D-A120-741975C10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3E56D-4DCF-48F8-B65B-C6433C955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dafd8-c757-44e1-b0c1-126e3d3b3ad6"/>
    <ds:schemaRef ds:uri="809db94f-0e5d-4e66-8e7c-2cbb9cf5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7C950-163B-4D6E-9924-0EFD06EF4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Birmingham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Bartlett</dc:creator>
  <keywords/>
  <dc:description/>
  <lastModifiedBy>Amber Bartlett-Gee</lastModifiedBy>
  <revision>8</revision>
  <dcterms:created xsi:type="dcterms:W3CDTF">2025-06-25T03:48:00.0000000Z</dcterms:created>
  <dcterms:modified xsi:type="dcterms:W3CDTF">2025-09-03T08:56:07.4194679Z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0x0101005FF35AFA382F0A4A814BD75C5E7948E7</vt:lpwstr>
  </property>
</Properties>
</file>